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ind w:firstLine="0" w:firstLineChars="0"/>
        <w:jc w:val="left"/>
        <w:outlineLvl w:val="0"/>
        <w:rPr>
          <w:rFonts w:ascii="仿宋_GB2312" w:hAnsi="仿宋_GB2312" w:eastAsia="仿宋_GB2312" w:cs="仿宋_GB2312"/>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附件</w:t>
      </w:r>
      <w:r>
        <w:rPr>
          <w:rFonts w:ascii="黑体" w:hAnsi="黑体" w:eastAsia="黑体" w:cs="黑体"/>
          <w:bCs/>
          <w:color w:val="000000" w:themeColor="text1"/>
          <w:sz w:val="32"/>
          <w:szCs w:val="32"/>
          <w14:textFill>
            <w14:solidFill>
              <w14:schemeClr w14:val="tx1"/>
            </w14:solidFill>
          </w14:textFill>
        </w:rPr>
        <w:t>1</w:t>
      </w:r>
    </w:p>
    <w:p>
      <w:pPr>
        <w:pStyle w:val="4"/>
        <w:spacing w:before="0" w:beforeLines="0" w:after="0" w:afterLines="0"/>
        <w:rPr>
          <w:color w:val="000000" w:themeColor="text1"/>
          <w:sz w:val="36"/>
          <w:szCs w:val="36"/>
          <w14:textFill>
            <w14:solidFill>
              <w14:schemeClr w14:val="tx1"/>
            </w14:solidFill>
          </w14:textFill>
        </w:rPr>
      </w:pPr>
      <w:bookmarkStart w:id="0" w:name="_GoBack"/>
      <w:r>
        <w:rPr>
          <w:rFonts w:hint="eastAsia"/>
          <w:color w:val="000000" w:themeColor="text1"/>
          <w:sz w:val="36"/>
          <w:szCs w:val="36"/>
          <w14:textFill>
            <w14:solidFill>
              <w14:schemeClr w14:val="tx1"/>
            </w14:solidFill>
          </w14:textFill>
        </w:rPr>
        <w:t>电子商务示范企业创建规范</w:t>
      </w:r>
    </w:p>
    <w:p>
      <w:pPr>
        <w:spacing w:beforeLines="0" w:afterLines="0"/>
        <w:ind w:firstLine="3534" w:firstLineChars="1100"/>
        <w:rPr>
          <w:rFonts w:ascii="华文楷体" w:hAnsi="华文楷体" w:eastAsia="华文楷体"/>
          <w:b/>
          <w:color w:val="000000" w:themeColor="text1"/>
          <w:sz w:val="32"/>
          <w:szCs w:val="32"/>
          <w14:textFill>
            <w14:solidFill>
              <w14:schemeClr w14:val="tx1"/>
            </w14:solidFill>
          </w14:textFill>
        </w:rPr>
      </w:pPr>
      <w:r>
        <w:rPr>
          <w:rFonts w:hint="eastAsia" w:ascii="华文楷体" w:hAnsi="华文楷体" w:eastAsia="华文楷体"/>
          <w:b/>
          <w:color w:val="000000" w:themeColor="text1"/>
          <w:sz w:val="32"/>
          <w:szCs w:val="32"/>
          <w14:textFill>
            <w14:solidFill>
              <w14:schemeClr w14:val="tx1"/>
            </w14:solidFill>
          </w14:textFill>
        </w:rPr>
        <w:t>（试行）</w:t>
      </w:r>
    </w:p>
    <w:bookmarkEnd w:id="0"/>
    <w:p>
      <w:pPr>
        <w:spacing w:beforeLines="0" w:afterLines="0"/>
        <w:ind w:firstLine="3534" w:firstLineChars="1100"/>
        <w:rPr>
          <w:rFonts w:ascii="华文楷体" w:hAnsi="华文楷体" w:eastAsia="华文楷体"/>
          <w:b/>
          <w:color w:val="000000" w:themeColor="text1"/>
          <w:sz w:val="32"/>
          <w:szCs w:val="32"/>
          <w14:textFill>
            <w14:solidFill>
              <w14:schemeClr w14:val="tx1"/>
            </w14:solidFill>
          </w14:textFill>
        </w:rPr>
      </w:pP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第一条</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为充分发挥优秀电子商务企业的示范引领作用，促进我国电子商务高质量发展，商务部组织开展电子商务示范企业创建活动。</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第二条 </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电子商务示范企业创建活动遵循全面客观、公开公平、科学量化、动态管理、优胜劣汰、鼓励创新的原则。</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第三条</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申报示范（参与综合评价）的电子商务企业须同时符合以下基本条件：</w:t>
      </w:r>
      <w:r>
        <w:rPr>
          <w:rFonts w:ascii="仿宋_GB2312" w:eastAsia="仿宋_GB2312"/>
          <w:color w:val="000000" w:themeColor="text1"/>
          <w:sz w:val="32"/>
          <w:szCs w:val="32"/>
          <w14:textFill>
            <w14:solidFill>
              <w14:schemeClr w14:val="tx1"/>
            </w14:solidFill>
          </w14:textFill>
        </w:rPr>
        <w:t xml:space="preserve"> </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（一）在中国境内注册的独立法人企业。</w:t>
      </w:r>
    </w:p>
    <w:p>
      <w:pPr>
        <w:widowControl/>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（二）遵守《中华人民共和国电子商务法》《固体废物污染防治法》《商务</w:t>
      </w:r>
      <w:r>
        <w:rPr>
          <w:rFonts w:hint="eastAsia" w:ascii="仿宋_GB2312" w:eastAsia="仿宋_GB2312"/>
          <w:color w:val="000000" w:themeColor="text1"/>
          <w:sz w:val="32"/>
          <w:szCs w:val="32"/>
          <w:lang w:bidi="ar"/>
          <w14:textFill>
            <w14:solidFill>
              <w14:schemeClr w14:val="tx1"/>
            </w14:solidFill>
          </w14:textFill>
        </w:rPr>
        <w:t>领域一次性塑料制品使用、报告管理办法</w:t>
      </w:r>
      <w:r>
        <w:rPr>
          <w:rFonts w:hint="eastAsia" w:ascii="仿宋_GB2312" w:eastAsia="仿宋_GB2312"/>
          <w:color w:val="000000" w:themeColor="text1"/>
          <w:sz w:val="32"/>
          <w:szCs w:val="32"/>
          <w14:textFill>
            <w14:solidFill>
              <w14:schemeClr w14:val="tx1"/>
            </w14:solidFill>
          </w14:textFill>
        </w:rPr>
        <w:t>》等有关法律、法规、规章，符合电子商务领域国家标准和行业标准，合法经营，公平竞争，有相应的网络和数据安全防护体系。</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（三）通过互联网从事涉及行政许可类商品和服务经营活动的，须按有关规定取得相应经营批准证书，并在其电子商务平台公开经营批准证书的信息以及清晰可辨的照片或其电子链接标识。</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（四）已在商务部电子商务公共服务平台注册签署《电子商务企业诚信经营承诺书》，建立诚信档案，公开信用信息，并履行数据报送义务。</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（五）企业经营的独立网站或网店须开设两年以上并运行稳定，如是独立网站须已取得互联网信息服务增值电信业务经营许可证，或已通过非经营性互联网信息服务备案，取得</w:t>
      </w:r>
      <w:r>
        <w:rPr>
          <w:rFonts w:ascii="仿宋_GB2312" w:eastAsia="仿宋_GB2312"/>
          <w:color w:val="000000" w:themeColor="text1"/>
          <w:sz w:val="32"/>
          <w:szCs w:val="32"/>
          <w14:textFill>
            <w14:solidFill>
              <w14:schemeClr w14:val="tx1"/>
            </w14:solidFill>
          </w14:textFill>
        </w:rPr>
        <w:t>ICP</w:t>
      </w:r>
      <w:r>
        <w:rPr>
          <w:rFonts w:hint="eastAsia" w:ascii="仿宋_GB2312" w:eastAsia="仿宋_GB2312"/>
          <w:color w:val="000000" w:themeColor="text1"/>
          <w:sz w:val="32"/>
          <w:szCs w:val="32"/>
          <w14:textFill>
            <w14:solidFill>
              <w14:schemeClr w14:val="tx1"/>
            </w14:solidFill>
          </w14:textFill>
        </w:rPr>
        <w:t>证号。</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（六）企业建有专门的电子商务运营机构，拥有专业的电子商务人才队伍和培养计划，具备充足的资金保障，有健全的管理、技术和财务制度，拥有完善的售前、售中、售后服务保障体系。</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（七）企业的电子商务业务经营状况良好，上年度业务收入或利税稳定增长，或企业电子商务销售额在同行业中居领先地位，无严重违法违规记录。</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（八）企业可持续发展能力较强，经营商品品种、服务内容、市场占有率、用户规模具有良好的成长性。</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（九）企业电子商务应用的社会效益明显，有助于提升相关产业的国际竞争力，带动上下游关联企业协同发展，有利于促进就业和创业，满足社会公众便利、安全的消费需求。</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（十）企业电子商务业务在国内同行业中处于先进水平，用户满意度高，具有较高知名度和影响力。</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（十一）在已开展本级电子商务示范创建活动的省份，申报（参与综合评价）企业原则上应是省级电子商务示范企业。</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第四条 </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申报示范（参与综合评价）的企业应是以下类型之一，且原则上具备相应条件：</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电子商务平台企业。通过自建平台开展自营活动或者向第三方经营者提供平台服务的电子商务平台经营企业，包括提供实物商品零售或批发服务的自营平台企业，或为电子商务经营者提供交易服务的第三方平台企业，以及通过互联网等信息网络提供餐饮外卖、教育、医疗、文化、旅游、体育、本地生活等服务的企业。其中，零售及批发平台企业的年度电子商务交易额在</w:t>
      </w: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亿元（含）以上，员工总数在</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themeColor="text1"/>
          <w:sz w:val="32"/>
          <w:szCs w:val="32"/>
          <w14:textFill>
            <w14:solidFill>
              <w14:schemeClr w14:val="tx1"/>
            </w14:solidFill>
          </w14:textFill>
        </w:rPr>
        <w:t>人（含）以上；网络化服务企业的年度营业收入在</w:t>
      </w:r>
      <w:r>
        <w:rPr>
          <w:rFonts w:ascii="仿宋_GB2312" w:eastAsia="仿宋_GB2312"/>
          <w:color w:val="000000" w:themeColor="text1"/>
          <w:sz w:val="32"/>
          <w:szCs w:val="32"/>
          <w14:textFill>
            <w14:solidFill>
              <w14:schemeClr w14:val="tx1"/>
            </w14:solidFill>
          </w14:textFill>
        </w:rPr>
        <w:t>1000</w:t>
      </w:r>
      <w:r>
        <w:rPr>
          <w:rFonts w:hint="eastAsia" w:ascii="仿宋_GB2312" w:eastAsia="仿宋_GB2312"/>
          <w:color w:val="000000" w:themeColor="text1"/>
          <w:sz w:val="32"/>
          <w:szCs w:val="32"/>
          <w14:textFill>
            <w14:solidFill>
              <w14:schemeClr w14:val="tx1"/>
            </w14:solidFill>
          </w14:textFill>
        </w:rPr>
        <w:t>万元（含）以上，员工总数在</w:t>
      </w:r>
      <w:r>
        <w:rPr>
          <w:rFonts w:ascii="仿宋_GB2312" w:eastAsia="仿宋_GB2312"/>
          <w:color w:val="000000" w:themeColor="text1"/>
          <w:sz w:val="32"/>
          <w:szCs w:val="32"/>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人（含）以上。</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（二）电子商务品牌经销企业。通过第三方电子商务平台销售商品或提供服务的电子商务经营企业。其年度电子商务交易额在</w:t>
      </w: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亿元（含）以上，员工总数在</w:t>
      </w:r>
      <w:r>
        <w:rPr>
          <w:rFonts w:ascii="仿宋_GB2312" w:eastAsia="仿宋_GB2312"/>
          <w:color w:val="000000" w:themeColor="text1"/>
          <w:sz w:val="32"/>
          <w:szCs w:val="32"/>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人（含）以上。</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（三）电子商务服务企业。为电子商务经营者提供营销（含直播）、技术、运营、数据、信用、咨询、培训、物流、金融支付、网红孵化与运营、外贸综合服务等电子商务相关服务的企业。其年度营业收入在</w:t>
      </w:r>
      <w:r>
        <w:rPr>
          <w:rFonts w:ascii="仿宋_GB2312" w:eastAsia="仿宋_GB2312"/>
          <w:color w:val="000000" w:themeColor="text1"/>
          <w:sz w:val="32"/>
          <w:szCs w:val="32"/>
          <w14:textFill>
            <w14:solidFill>
              <w14:schemeClr w14:val="tx1"/>
            </w14:solidFill>
          </w14:textFill>
        </w:rPr>
        <w:t>1000</w:t>
      </w:r>
      <w:r>
        <w:rPr>
          <w:rFonts w:hint="eastAsia" w:ascii="仿宋_GB2312" w:eastAsia="仿宋_GB2312"/>
          <w:color w:val="000000" w:themeColor="text1"/>
          <w:sz w:val="32"/>
          <w:szCs w:val="32"/>
          <w14:textFill>
            <w14:solidFill>
              <w14:schemeClr w14:val="tx1"/>
            </w14:solidFill>
          </w14:textFill>
        </w:rPr>
        <w:t>万元（含）以上。</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（四）综合型电子商务企业。同时开展上述两种（含）以上经营活动的企业。其运营平台的年度电子商务交易额在</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themeColor="text1"/>
          <w:sz w:val="32"/>
          <w:szCs w:val="32"/>
          <w14:textFill>
            <w14:solidFill>
              <w14:schemeClr w14:val="tx1"/>
            </w14:solidFill>
          </w14:textFill>
        </w:rPr>
        <w:t>亿元（含）以上（或年度服务收入在</w:t>
      </w:r>
      <w:r>
        <w:rPr>
          <w:rFonts w:ascii="仿宋_GB2312" w:eastAsia="仿宋_GB2312"/>
          <w:color w:val="000000" w:themeColor="text1"/>
          <w:sz w:val="32"/>
          <w:szCs w:val="32"/>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亿元及以上），员工总数在</w:t>
      </w:r>
      <w:r>
        <w:rPr>
          <w:rFonts w:ascii="仿宋_GB2312" w:eastAsia="仿宋_GB2312"/>
          <w:color w:val="000000" w:themeColor="text1"/>
          <w:sz w:val="32"/>
          <w:szCs w:val="32"/>
          <w14:textFill>
            <w14:solidFill>
              <w14:schemeClr w14:val="tx1"/>
            </w14:solidFill>
          </w14:textFill>
        </w:rPr>
        <w:t>1000</w:t>
      </w:r>
      <w:r>
        <w:rPr>
          <w:rFonts w:hint="eastAsia" w:ascii="仿宋_GB2312" w:eastAsia="仿宋_GB2312"/>
          <w:color w:val="000000" w:themeColor="text1"/>
          <w:sz w:val="32"/>
          <w:szCs w:val="32"/>
          <w14:textFill>
            <w14:solidFill>
              <w14:schemeClr w14:val="tx1"/>
            </w14:solidFill>
          </w14:textFill>
        </w:rPr>
        <w:t>人（含）以上。</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（五）其他创新型电子商务企业。通过互联网等信息网络开展其他类型经营活动的企业。其年度营业收入增速超过</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themeColor="text1"/>
          <w:sz w:val="32"/>
          <w:szCs w:val="32"/>
          <w14:textFill>
            <w14:solidFill>
              <w14:schemeClr w14:val="tx1"/>
            </w14:solidFill>
          </w14:textFill>
        </w:rPr>
        <w:t>，或所经营网站用户访问量、注册用户数、下载量等核心流量指标年增速超过</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themeColor="text1"/>
          <w:sz w:val="32"/>
          <w:szCs w:val="32"/>
          <w14:textFill>
            <w14:solidFill>
              <w14:schemeClr w14:val="tx1"/>
            </w14:solidFill>
          </w14:textFill>
        </w:rPr>
        <w:t>，员工总数在</w:t>
      </w:r>
      <w:r>
        <w:rPr>
          <w:rFonts w:ascii="仿宋_GB2312" w:eastAsia="仿宋_GB2312"/>
          <w:color w:val="000000" w:themeColor="text1"/>
          <w:sz w:val="32"/>
          <w:szCs w:val="32"/>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人（含）以上。</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第五条 </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围绕建设网络强国目标和数字经济发展战略，鼓励电子商务企业在以下单个或多个方面创新发展：</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hAnsi="楷体" w:eastAsia="仿宋_GB2312"/>
          <w:color w:val="000000" w:themeColor="text1"/>
          <w:sz w:val="32"/>
          <w:szCs w:val="32"/>
          <w14:textFill>
            <w14:solidFill>
              <w14:schemeClr w14:val="tx1"/>
            </w14:solidFill>
          </w14:textFill>
        </w:rPr>
        <w:t>（一）促融合。应用</w:t>
      </w:r>
      <w:r>
        <w:rPr>
          <w:rStyle w:val="17"/>
          <w:rFonts w:hint="eastAsia" w:ascii="仿宋_GB2312" w:eastAsia="仿宋_GB2312"/>
          <w:i w:val="0"/>
          <w:color w:val="000000" w:themeColor="text1"/>
          <w:sz w:val="32"/>
          <w:szCs w:val="32"/>
          <w14:textFill>
            <w14:solidFill>
              <w14:schemeClr w14:val="tx1"/>
            </w14:solidFill>
          </w14:textFill>
        </w:rPr>
        <w:t>大数据</w:t>
      </w:r>
      <w:r>
        <w:rPr>
          <w:rStyle w:val="34"/>
          <w:rFonts w:hint="eastAsia" w:ascii="仿宋_GB2312" w:eastAsia="仿宋_GB2312"/>
          <w:i/>
          <w:color w:val="000000" w:themeColor="text1"/>
          <w:sz w:val="32"/>
          <w:szCs w:val="32"/>
          <w14:textFill>
            <w14:solidFill>
              <w14:schemeClr w14:val="tx1"/>
            </w14:solidFill>
          </w14:textFill>
        </w:rPr>
        <w:t>、</w:t>
      </w:r>
      <w:r>
        <w:rPr>
          <w:rStyle w:val="34"/>
          <w:rFonts w:hint="eastAsia" w:ascii="仿宋_GB2312" w:eastAsia="仿宋_GB2312"/>
          <w:color w:val="000000" w:themeColor="text1"/>
          <w:sz w:val="32"/>
          <w:szCs w:val="32"/>
          <w14:textFill>
            <w14:solidFill>
              <w14:schemeClr w14:val="tx1"/>
            </w14:solidFill>
          </w14:textFill>
        </w:rPr>
        <w:t>云计算、物联网、</w:t>
      </w:r>
      <w:r>
        <w:rPr>
          <w:rStyle w:val="17"/>
          <w:rFonts w:hint="eastAsia" w:ascii="仿宋_GB2312" w:eastAsia="仿宋_GB2312"/>
          <w:i w:val="0"/>
          <w:color w:val="000000" w:themeColor="text1"/>
          <w:sz w:val="32"/>
          <w:szCs w:val="32"/>
          <w14:textFill>
            <w14:solidFill>
              <w14:schemeClr w14:val="tx1"/>
            </w14:solidFill>
          </w14:textFill>
        </w:rPr>
        <w:t>人工智能</w:t>
      </w:r>
      <w:r>
        <w:rPr>
          <w:rStyle w:val="34"/>
          <w:rFonts w:hint="eastAsia" w:ascii="仿宋_GB2312" w:eastAsia="仿宋_GB2312"/>
          <w:color w:val="000000" w:themeColor="text1"/>
          <w:sz w:val="32"/>
          <w:szCs w:val="32"/>
          <w14:textFill>
            <w14:solidFill>
              <w14:schemeClr w14:val="tx1"/>
            </w14:solidFill>
          </w14:textFill>
        </w:rPr>
        <w:t>等</w:t>
      </w:r>
      <w:r>
        <w:rPr>
          <w:rStyle w:val="17"/>
          <w:rFonts w:hint="eastAsia" w:ascii="仿宋_GB2312" w:eastAsia="仿宋_GB2312"/>
          <w:i w:val="0"/>
          <w:color w:val="000000" w:themeColor="text1"/>
          <w:sz w:val="32"/>
          <w:szCs w:val="32"/>
          <w14:textFill>
            <w14:solidFill>
              <w14:schemeClr w14:val="tx1"/>
            </w14:solidFill>
          </w14:textFill>
        </w:rPr>
        <w:t>现代</w:t>
      </w:r>
      <w:r>
        <w:rPr>
          <w:rFonts w:hint="eastAsia" w:ascii="仿宋_GB2312" w:hAnsi="楷体" w:eastAsia="仿宋_GB2312"/>
          <w:color w:val="000000" w:themeColor="text1"/>
          <w:sz w:val="32"/>
          <w:szCs w:val="32"/>
          <w14:textFill>
            <w14:solidFill>
              <w14:schemeClr w14:val="tx1"/>
            </w14:solidFill>
          </w14:textFill>
        </w:rPr>
        <w:t>信息技术</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楷体" w:eastAsia="仿宋_GB2312"/>
          <w:color w:val="000000" w:themeColor="text1"/>
          <w:sz w:val="32"/>
          <w:szCs w:val="32"/>
          <w14:textFill>
            <w14:solidFill>
              <w14:schemeClr w14:val="tx1"/>
            </w14:solidFill>
          </w14:textFill>
        </w:rPr>
        <w:t>创新商业</w:t>
      </w:r>
      <w:r>
        <w:rPr>
          <w:rFonts w:hint="eastAsia" w:ascii="仿宋_GB2312" w:eastAsia="仿宋_GB2312"/>
          <w:color w:val="000000" w:themeColor="text1"/>
          <w:sz w:val="32"/>
          <w:szCs w:val="32"/>
          <w14:textFill>
            <w14:solidFill>
              <w14:schemeClr w14:val="tx1"/>
            </w14:solidFill>
          </w14:textFill>
        </w:rPr>
        <w:t>模式和产业形态，推动与传统产业带、智能制造、实体商业、县域经济、社交网络、对外贸易等开展深度融合，促进中小企业数字化转型，打造数字化供应链平台，服务和融入新发展格局、推动高质量发展。</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（二）促民生。积极履行社会责任，在带动就业、扶农助农、公益慈善、社会应急保障等方面发挥重要作用；在餐饮、教育、医疗、出行、住宿、旅游、文体等与民生相关领域开展在线服务创新。</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（三）促发展。统筹建设新型基础设施，</w:t>
      </w:r>
      <w:r>
        <w:rPr>
          <w:rFonts w:hint="eastAsia" w:ascii="仿宋_GB2312" w:eastAsia="仿宋_GB2312"/>
          <w:bCs/>
          <w:color w:val="000000" w:themeColor="text1"/>
          <w:sz w:val="32"/>
          <w:szCs w:val="32"/>
          <w14:textFill>
            <w14:solidFill>
              <w14:schemeClr w14:val="tx1"/>
            </w14:solidFill>
          </w14:textFill>
        </w:rPr>
        <w:t>参与国家重大科技创新项目，在国内外资本市场上市；</w:t>
      </w:r>
      <w:r>
        <w:rPr>
          <w:rFonts w:hint="eastAsia" w:ascii="仿宋_GB2312" w:eastAsia="仿宋_GB2312"/>
          <w:color w:val="000000" w:themeColor="text1"/>
          <w:sz w:val="32"/>
          <w:szCs w:val="32"/>
          <w14:textFill>
            <w14:solidFill>
              <w14:schemeClr w14:val="tx1"/>
            </w14:solidFill>
          </w14:textFill>
        </w:rPr>
        <w:t>丰富商品供应，推动老字号复兴，培育新消费品牌，促进消费和产业升级；为中小微企业提供供需对接、资源支撑、金融信贷、技术保障、人才培训等服务，为企业赋值、为产业赋能。</w:t>
      </w:r>
    </w:p>
    <w:p>
      <w:pPr>
        <w:pStyle w:val="2"/>
        <w:spacing w:beforeLines="0" w:after="0" w:afterLines="0"/>
        <w:ind w:left="0" w:leftChars="0" w:firstLine="0" w:firstLineChars="0"/>
        <w:rPr>
          <w:rFonts w:eastAsia="仿宋_GB2312"/>
          <w:color w:val="000000" w:themeColor="text1"/>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（四）促振兴。围绕巩固脱贫攻坚成果、服务乡村振兴、促进数商兴农，在产销对接、农产品品牌培育推广、农村电商人才培养、农村电商基础设施建设等方面发挥积极作用。</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促环境。合法合规经营，健全企业合规体系，完善平台规则与治理，保障相关主体合法权益；加强绿色低碳发展，推广绿色包装，引导绿色消费；推动建立团体标准、行业标准、国家标准、国际标准；积极开展党建工作，落实党风廉政责任。</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（六）促开放。</w:t>
      </w:r>
      <w:r>
        <w:rPr>
          <w:rFonts w:hint="eastAsia" w:ascii="仿宋_GB2312" w:eastAsia="仿宋_GB2312"/>
          <w:bCs/>
          <w:color w:val="000000" w:themeColor="text1"/>
          <w:sz w:val="32"/>
          <w:szCs w:val="32"/>
          <w14:textFill>
            <w14:solidFill>
              <w14:schemeClr w14:val="tx1"/>
            </w14:solidFill>
          </w14:textFill>
        </w:rPr>
        <w:t>以开放促竞争，以竞争促创新，</w:t>
      </w:r>
      <w:r>
        <w:rPr>
          <w:rFonts w:hint="eastAsia" w:ascii="仿宋_GB2312" w:eastAsia="仿宋_GB2312"/>
          <w:color w:val="000000" w:themeColor="text1"/>
          <w:sz w:val="32"/>
          <w:szCs w:val="32"/>
          <w14:textFill>
            <w14:solidFill>
              <w14:schemeClr w14:val="tx1"/>
            </w14:solidFill>
          </w14:textFill>
        </w:rPr>
        <w:t>围绕海外投资和国际化经营，开展平台出海、品牌出海、供应链出海、技术出海、服务出</w:t>
      </w:r>
      <w:r>
        <w:rPr>
          <w:rFonts w:hint="eastAsia" w:ascii="仿宋_GB2312" w:eastAsia="仿宋_GB2312"/>
          <w:color w:val="000000" w:themeColor="text1"/>
          <w:sz w:val="32"/>
          <w:szCs w:val="32"/>
          <w:lang w:eastAsia="zh-CN"/>
          <w14:textFill>
            <w14:solidFill>
              <w14:schemeClr w14:val="tx1"/>
            </w14:solidFill>
          </w14:textFill>
        </w:rPr>
        <w:t>海</w:t>
      </w:r>
      <w:r>
        <w:rPr>
          <w:rFonts w:hint="eastAsia" w:ascii="仿宋_GB2312" w:eastAsia="仿宋_GB2312"/>
          <w:color w:val="000000" w:themeColor="text1"/>
          <w:sz w:val="32"/>
          <w:szCs w:val="32"/>
          <w14:textFill>
            <w14:solidFill>
              <w14:schemeClr w14:val="tx1"/>
            </w14:solidFill>
          </w14:textFill>
        </w:rPr>
        <w:t>；推动与“一带一路”沿线国家和新兴市场开展电子商务领域的合作创新。</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第六条</w:t>
      </w:r>
      <w:r>
        <w:rPr>
          <w:rFonts w:hint="eastAsia" w:ascii="黑体" w:hAnsi="黑体" w:eastAsia="黑体" w:cs="黑体"/>
          <w:color w:val="000000" w:themeColor="text1"/>
          <w:kern w:val="0"/>
          <w:sz w:val="32"/>
          <w:szCs w:val="32"/>
          <w14:textFill>
            <w14:solidFill>
              <w14:schemeClr w14:val="tx1"/>
            </w14:solidFill>
          </w14:textFill>
        </w:rPr>
        <w:t xml:space="preserve"> </w:t>
      </w:r>
      <w:r>
        <w:rPr>
          <w:rFonts w:ascii="仿宋_GB2312" w:eastAsia="仿宋_GB2312" w:cs="宋体"/>
          <w:color w:val="000000" w:themeColor="text1"/>
          <w:kern w:val="0"/>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自首次遴选确认电子商务示范企业的下一年起，每年通过综合评价的办法，对示范企业实施动态调整，对连续两年综合评价成绩较差的，取消示范资格；对连续两年综合评价成绩优秀的地方推荐企业，增补为示范企业。</w:t>
      </w:r>
    </w:p>
    <w:p>
      <w:pPr>
        <w:spacing w:beforeLines="0" w:afterLines="0"/>
        <w:ind w:firstLine="640"/>
        <w:rPr>
          <w:rFonts w:ascii="仿宋_GB2312" w:eastAsia="仿宋_GB2312" w:cs="宋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第七条</w:t>
      </w:r>
      <w:r>
        <w:rPr>
          <w:rFonts w:ascii="仿宋_GB2312" w:eastAsia="仿宋_GB2312" w:cs="宋体"/>
          <w:color w:val="000000" w:themeColor="text1"/>
          <w:kern w:val="0"/>
          <w:sz w:val="32"/>
          <w:szCs w:val="32"/>
          <w14:textFill>
            <w14:solidFill>
              <w14:schemeClr w14:val="tx1"/>
            </w14:solidFill>
          </w14:textFill>
        </w:rPr>
        <w:t xml:space="preserve">  </w:t>
      </w:r>
      <w:r>
        <w:rPr>
          <w:rFonts w:hint="eastAsia" w:ascii="仿宋_GB2312" w:eastAsia="仿宋_GB2312" w:cs="宋体"/>
          <w:color w:val="000000" w:themeColor="text1"/>
          <w:kern w:val="0"/>
          <w:sz w:val="32"/>
          <w:szCs w:val="32"/>
          <w14:textFill>
            <w14:solidFill>
              <w14:schemeClr w14:val="tx1"/>
            </w14:solidFill>
          </w14:textFill>
        </w:rPr>
        <w:t>每年度电子商务示范企业调整数量根据具体情况确定，原则上总量控制、适当增补，反映我国电子商务创新发展水平。</w:t>
      </w:r>
    </w:p>
    <w:p>
      <w:pPr>
        <w:spacing w:beforeLines="0" w:afterLines="0"/>
        <w:ind w:firstLine="640"/>
        <w:rPr>
          <w:rFonts w:ascii="仿宋_GB2312" w:eastAsia="仿宋_GB2312" w:cs="宋体"/>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第八条</w:t>
      </w:r>
      <w:r>
        <w:rPr>
          <w:rFonts w:ascii="仿宋_GB2312" w:eastAsia="仿宋_GB2312" w:cs="宋体"/>
          <w:color w:val="000000" w:themeColor="text1"/>
          <w:kern w:val="0"/>
          <w:sz w:val="32"/>
          <w:szCs w:val="32"/>
          <w14:textFill>
            <w14:solidFill>
              <w14:schemeClr w14:val="tx1"/>
            </w14:solidFill>
          </w14:textFill>
        </w:rPr>
        <w:t xml:space="preserve">  </w:t>
      </w:r>
      <w:r>
        <w:rPr>
          <w:rFonts w:hint="eastAsia" w:ascii="仿宋_GB2312" w:eastAsia="仿宋_GB2312" w:cs="宋体"/>
          <w:color w:val="000000" w:themeColor="text1"/>
          <w:kern w:val="0"/>
          <w:sz w:val="32"/>
          <w:szCs w:val="32"/>
          <w14:textFill>
            <w14:solidFill>
              <w14:schemeClr w14:val="tx1"/>
            </w14:solidFill>
          </w14:textFill>
        </w:rPr>
        <w:t>电子商务示范企业创建工作按下列程序进行：</w:t>
      </w:r>
    </w:p>
    <w:p>
      <w:pPr>
        <w:spacing w:beforeLines="0" w:afterLines="0"/>
        <w:ind w:firstLine="640"/>
        <w:rPr>
          <w:rFonts w:ascii="仿宋_GB2312" w:eastAsia="仿宋_GB2312" w:cs="宋体"/>
          <w:color w:val="000000" w:themeColor="text1"/>
          <w:kern w:val="0"/>
          <w:sz w:val="32"/>
          <w:szCs w:val="32"/>
          <w14:textFill>
            <w14:solidFill>
              <w14:schemeClr w14:val="tx1"/>
            </w14:solidFill>
          </w14:textFill>
        </w:rPr>
      </w:pPr>
      <w:r>
        <w:rPr>
          <w:rFonts w:hint="eastAsia" w:ascii="仿宋_GB2312" w:eastAsia="仿宋_GB2312" w:cs="宋体"/>
          <w:color w:val="000000" w:themeColor="text1"/>
          <w:kern w:val="0"/>
          <w:sz w:val="32"/>
          <w:szCs w:val="32"/>
          <w14:textFill>
            <w14:solidFill>
              <w14:schemeClr w14:val="tx1"/>
            </w14:solidFill>
          </w14:textFill>
        </w:rPr>
        <w:t>（一）报送材料。省级商务主管部门根据商务部电子商务示范企业年度创建、综合评价工作通知，动员并组织有参与示范创建意愿的企业报送相关材料，对企业提交的材料进行初核后研究确定推荐名单，并连同推荐文件和企业申报材料（电子版通过系统报送）一并上报商务部。企业需提供材料包括《电子商务示范企业申报表》、《电子商务示范企业申报书》、企业工商营业执照（三证合一）、经审计的会计年报及其他证明材料（所有材料需加盖公章）。</w:t>
      </w:r>
    </w:p>
    <w:p>
      <w:pPr>
        <w:spacing w:beforeLines="0" w:afterLines="0"/>
        <w:ind w:firstLine="640"/>
        <w:rPr>
          <w:rFonts w:ascii="仿宋_GB2312" w:eastAsia="仿宋_GB2312" w:cs="宋体"/>
          <w:color w:val="000000" w:themeColor="text1"/>
          <w:kern w:val="0"/>
          <w:sz w:val="32"/>
          <w:szCs w:val="32"/>
          <w14:textFill>
            <w14:solidFill>
              <w14:schemeClr w14:val="tx1"/>
            </w14:solidFill>
          </w14:textFill>
        </w:rPr>
      </w:pPr>
      <w:r>
        <w:rPr>
          <w:rFonts w:hint="eastAsia" w:ascii="仿宋_GB2312" w:eastAsia="仿宋_GB2312" w:cs="宋体"/>
          <w:color w:val="000000" w:themeColor="text1"/>
          <w:kern w:val="0"/>
          <w:sz w:val="32"/>
          <w:szCs w:val="32"/>
          <w14:textFill>
            <w14:solidFill>
              <w14:schemeClr w14:val="tx1"/>
            </w14:solidFill>
          </w14:textFill>
        </w:rPr>
        <w:t>（二）专家评估。</w:t>
      </w:r>
      <w:r>
        <w:rPr>
          <w:rFonts w:hint="eastAsia" w:ascii="仿宋_GB2312" w:eastAsia="仿宋_GB2312"/>
          <w:color w:val="000000" w:themeColor="text1"/>
          <w:sz w:val="32"/>
          <w:szCs w:val="32"/>
          <w14:textFill>
            <w14:solidFill>
              <w14:schemeClr w14:val="tx1"/>
            </w14:solidFill>
          </w14:textFill>
        </w:rPr>
        <w:t>商务部组织专家对各地报送的示范企业申报表、申报书及其他证明材料进行评估，确定企业综合得分和排名。必要时，组织专家对有关企业进行现场调研、抽查和核实，形成最终结果和意见，并据此拟定电子商务示范企业建议名单</w:t>
      </w:r>
      <w:r>
        <w:rPr>
          <w:rFonts w:hint="eastAsia" w:ascii="仿宋_GB2312" w:eastAsia="仿宋_GB2312" w:cs="宋体"/>
          <w:color w:val="000000" w:themeColor="text1"/>
          <w:kern w:val="0"/>
          <w:sz w:val="32"/>
          <w:szCs w:val="32"/>
          <w14:textFill>
            <w14:solidFill>
              <w14:schemeClr w14:val="tx1"/>
            </w14:solidFill>
          </w14:textFill>
        </w:rPr>
        <w:t>。</w:t>
      </w:r>
    </w:p>
    <w:p>
      <w:pPr>
        <w:spacing w:beforeLines="0" w:afterLines="0"/>
        <w:ind w:firstLine="640"/>
        <w:rPr>
          <w:rFonts w:ascii="仿宋_GB2312" w:eastAsia="仿宋_GB2312" w:cs="宋体"/>
          <w:color w:val="000000" w:themeColor="text1"/>
          <w:kern w:val="0"/>
          <w:sz w:val="32"/>
          <w:szCs w:val="32"/>
          <w14:textFill>
            <w14:solidFill>
              <w14:schemeClr w14:val="tx1"/>
            </w14:solidFill>
          </w14:textFill>
        </w:rPr>
      </w:pPr>
      <w:r>
        <w:rPr>
          <w:rFonts w:hint="eastAsia" w:ascii="仿宋_GB2312" w:eastAsia="仿宋_GB2312" w:cs="宋体"/>
          <w:color w:val="000000" w:themeColor="text1"/>
          <w:kern w:val="0"/>
          <w:sz w:val="32"/>
          <w:szCs w:val="32"/>
          <w14:textFill>
            <w14:solidFill>
              <w14:schemeClr w14:val="tx1"/>
            </w14:solidFill>
          </w14:textFill>
        </w:rPr>
        <w:t>（三）结果公示。经部领导批准，将拟定的电子商务示范企业建议名单在商务部网站公示，任何单位或个人对名单有不同意见的，均可向商务部提出异议，由商务部组织专家进行复审。</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s="宋体"/>
          <w:color w:val="000000" w:themeColor="text1"/>
          <w:kern w:val="0"/>
          <w:sz w:val="32"/>
          <w:szCs w:val="32"/>
          <w14:textFill>
            <w14:solidFill>
              <w14:schemeClr w14:val="tx1"/>
            </w14:solidFill>
          </w14:textFill>
        </w:rPr>
        <w:t>（四）公布名单。在公示期间，对拟定的示范企业名单无异议或者异议不成立的，由商务部确定为电子商务示范企业，并以商务部公告形式予以发布。</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第九条</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示范企业有下述情况之一的，取消示范资格：</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（一）报送材料中存在虚假信息的。</w:t>
      </w:r>
    </w:p>
    <w:p>
      <w:pPr>
        <w:pStyle w:val="2"/>
        <w:spacing w:beforeLines="0" w:after="0" w:afterLines="0"/>
        <w:ind w:left="0" w:leftChars="0" w:firstLine="0" w:firstLineChars="0"/>
        <w:rPr>
          <w:rFonts w:eastAsia="仿宋_GB2312"/>
          <w:color w:val="000000" w:themeColor="text1"/>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（二）两年内，在经营活动中出现重大违法行为，使国家和人民利益遭受重大损失，带来恶劣社会影响的。</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（三）两年内，发生重大生产安全事故的。</w:t>
      </w:r>
      <w:r>
        <w:rPr>
          <w:rFonts w:ascii="仿宋_GB2312" w:eastAsia="仿宋_GB2312"/>
          <w:color w:val="000000" w:themeColor="text1"/>
          <w:sz w:val="32"/>
          <w:szCs w:val="32"/>
          <w14:textFill>
            <w14:solidFill>
              <w14:schemeClr w14:val="tx1"/>
            </w14:solidFill>
          </w14:textFill>
        </w:rPr>
        <w:t xml:space="preserve"> </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（四）连续两年综合评价成绩较差的。</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（五）不按规定要求和时限报送相关材料（含证明材料），经验总结交流不积极等影响示范创建相关工作计划或进程的。</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（六）不符合本规范其他要求和条件的。</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企业被取消示范资格起</w:t>
      </w: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年内，不得再次申报电子商务示范企业。</w:t>
      </w:r>
    </w:p>
    <w:p>
      <w:pPr>
        <w:spacing w:beforeLines="0" w:afterLines="0"/>
        <w:ind w:firstLine="640"/>
        <w:rPr>
          <w:rFonts w:hint="eastAsia"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第十条</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示范企业发生更名或变更经营范围、合并、分立、转业的，应及时向商务部和所在地省级商务主管部门备案。</w:t>
      </w:r>
    </w:p>
    <w:p>
      <w:pPr>
        <w:spacing w:beforeLines="0" w:afterLines="0"/>
        <w:ind w:firstLine="640"/>
        <w:rPr>
          <w:rFonts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第十一条</w:t>
      </w:r>
      <w:r>
        <w:rPr>
          <w:rFonts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电子商务企业在示范创建工作中遇到问题，及时向商务部或地方商务主管部门反映，商务部将适时组织专家对本规范进行完善。</w:t>
      </w:r>
    </w:p>
    <w:p>
      <w:pPr>
        <w:spacing w:beforeLines="0" w:afterLines="0"/>
        <w:ind w:firstLine="640"/>
        <w:rPr>
          <w:color w:val="000000" w:themeColor="text1"/>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本规范由商务部电子商务和信息化司负责解释。</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120" w:after="120"/>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spacing w:before="120" w:after="120"/>
                            <w:ind w:firstLine="420"/>
                          </w:pPr>
                          <w:r>
                            <w:rPr>
                              <w:rFonts w:ascii="仿宋_GB2312" w:hAnsi="仿宋_GB2312" w:eastAsia="仿宋_GB2312" w:cs="仿宋_GB2312"/>
                              <w:sz w:val="21"/>
                              <w:szCs w:val="21"/>
                            </w:rPr>
                            <w:fldChar w:fldCharType="begin"/>
                          </w:r>
                          <w:r>
                            <w:rPr>
                              <w:rFonts w:ascii="仿宋_GB2312" w:hAnsi="仿宋_GB2312" w:eastAsia="仿宋_GB2312" w:cs="仿宋_GB2312"/>
                              <w:sz w:val="21"/>
                              <w:szCs w:val="21"/>
                            </w:rPr>
                            <w:instrText xml:space="preserve"> PAGE  \* MERGEFORMAT </w:instrText>
                          </w:r>
                          <w:r>
                            <w:rPr>
                              <w:rFonts w:ascii="仿宋_GB2312" w:hAnsi="仿宋_GB2312" w:eastAsia="仿宋_GB2312" w:cs="仿宋_GB2312"/>
                              <w:sz w:val="21"/>
                              <w:szCs w:val="21"/>
                            </w:rPr>
                            <w:fldChar w:fldCharType="separate"/>
                          </w:r>
                          <w:r>
                            <w:rPr>
                              <w:rFonts w:ascii="仿宋_GB2312" w:hAnsi="仿宋_GB2312" w:eastAsia="仿宋_GB2312" w:cs="仿宋_GB2312"/>
                              <w:sz w:val="21"/>
                              <w:szCs w:val="21"/>
                            </w:rPr>
                            <w:t>41</w:t>
                          </w:r>
                          <w:r>
                            <w:rPr>
                              <w:rFonts w:ascii="仿宋_GB2312" w:hAnsi="仿宋_GB2312" w:eastAsia="仿宋_GB2312" w:cs="仿宋_GB2312"/>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9"/>
                      <w:spacing w:before="120" w:after="120"/>
                      <w:ind w:firstLine="420"/>
                    </w:pPr>
                    <w:r>
                      <w:rPr>
                        <w:rFonts w:ascii="仿宋_GB2312" w:hAnsi="仿宋_GB2312" w:eastAsia="仿宋_GB2312" w:cs="仿宋_GB2312"/>
                        <w:sz w:val="21"/>
                        <w:szCs w:val="21"/>
                      </w:rPr>
                      <w:fldChar w:fldCharType="begin"/>
                    </w:r>
                    <w:r>
                      <w:rPr>
                        <w:rFonts w:ascii="仿宋_GB2312" w:hAnsi="仿宋_GB2312" w:eastAsia="仿宋_GB2312" w:cs="仿宋_GB2312"/>
                        <w:sz w:val="21"/>
                        <w:szCs w:val="21"/>
                      </w:rPr>
                      <w:instrText xml:space="preserve"> PAGE  \* MERGEFORMAT </w:instrText>
                    </w:r>
                    <w:r>
                      <w:rPr>
                        <w:rFonts w:ascii="仿宋_GB2312" w:hAnsi="仿宋_GB2312" w:eastAsia="仿宋_GB2312" w:cs="仿宋_GB2312"/>
                        <w:sz w:val="21"/>
                        <w:szCs w:val="21"/>
                      </w:rPr>
                      <w:fldChar w:fldCharType="separate"/>
                    </w:r>
                    <w:r>
                      <w:rPr>
                        <w:rFonts w:ascii="仿宋_GB2312" w:hAnsi="仿宋_GB2312" w:eastAsia="仿宋_GB2312" w:cs="仿宋_GB2312"/>
                        <w:sz w:val="21"/>
                        <w:szCs w:val="21"/>
                      </w:rPr>
                      <w:t>41</w:t>
                    </w:r>
                    <w:r>
                      <w:rPr>
                        <w:rFonts w:ascii="仿宋_GB2312" w:hAnsi="仿宋_GB2312" w:eastAsia="仿宋_GB2312" w:cs="仿宋_GB2312"/>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ind w:firstLine="560"/>
      </w:pPr>
      <w:r>
        <w:separator/>
      </w:r>
    </w:p>
  </w:footnote>
  <w:footnote w:type="continuationSeparator" w:id="1">
    <w:p>
      <w:pPr>
        <w:spacing w:before="0" w:after="0"/>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046"/>
    <w:rsid w:val="00000926"/>
    <w:rsid w:val="000039D2"/>
    <w:rsid w:val="00003A12"/>
    <w:rsid w:val="00004281"/>
    <w:rsid w:val="00007B0E"/>
    <w:rsid w:val="00021898"/>
    <w:rsid w:val="00021E0C"/>
    <w:rsid w:val="00025436"/>
    <w:rsid w:val="00030C28"/>
    <w:rsid w:val="00032E9C"/>
    <w:rsid w:val="00042C57"/>
    <w:rsid w:val="00042F1B"/>
    <w:rsid w:val="00043580"/>
    <w:rsid w:val="00044ACD"/>
    <w:rsid w:val="0005789F"/>
    <w:rsid w:val="000614B1"/>
    <w:rsid w:val="0006403F"/>
    <w:rsid w:val="00067A6D"/>
    <w:rsid w:val="0007683F"/>
    <w:rsid w:val="00076E87"/>
    <w:rsid w:val="000831BB"/>
    <w:rsid w:val="00085952"/>
    <w:rsid w:val="000949D6"/>
    <w:rsid w:val="00095970"/>
    <w:rsid w:val="000A0992"/>
    <w:rsid w:val="000C216E"/>
    <w:rsid w:val="000C61FA"/>
    <w:rsid w:val="000F3DAA"/>
    <w:rsid w:val="00106262"/>
    <w:rsid w:val="001072A6"/>
    <w:rsid w:val="001141F9"/>
    <w:rsid w:val="00115992"/>
    <w:rsid w:val="00120F29"/>
    <w:rsid w:val="00123457"/>
    <w:rsid w:val="00125B0B"/>
    <w:rsid w:val="001465A8"/>
    <w:rsid w:val="001516E5"/>
    <w:rsid w:val="00152A29"/>
    <w:rsid w:val="001641FA"/>
    <w:rsid w:val="00164D00"/>
    <w:rsid w:val="00165A89"/>
    <w:rsid w:val="00172148"/>
    <w:rsid w:val="001830AE"/>
    <w:rsid w:val="0018315E"/>
    <w:rsid w:val="001952C8"/>
    <w:rsid w:val="00196394"/>
    <w:rsid w:val="00196397"/>
    <w:rsid w:val="001968DC"/>
    <w:rsid w:val="00197455"/>
    <w:rsid w:val="001977F1"/>
    <w:rsid w:val="001A0AF1"/>
    <w:rsid w:val="001B7CFF"/>
    <w:rsid w:val="001D4821"/>
    <w:rsid w:val="001F1BFD"/>
    <w:rsid w:val="001F6751"/>
    <w:rsid w:val="001F6800"/>
    <w:rsid w:val="0020295D"/>
    <w:rsid w:val="00206F39"/>
    <w:rsid w:val="00207810"/>
    <w:rsid w:val="00207F93"/>
    <w:rsid w:val="00215B1D"/>
    <w:rsid w:val="00216EE9"/>
    <w:rsid w:val="00220F36"/>
    <w:rsid w:val="00223E64"/>
    <w:rsid w:val="00224D2D"/>
    <w:rsid w:val="002274FE"/>
    <w:rsid w:val="00240442"/>
    <w:rsid w:val="00253084"/>
    <w:rsid w:val="00260AB3"/>
    <w:rsid w:val="00261F22"/>
    <w:rsid w:val="0026379A"/>
    <w:rsid w:val="00270FFC"/>
    <w:rsid w:val="002714A0"/>
    <w:rsid w:val="00271D4F"/>
    <w:rsid w:val="00272DF9"/>
    <w:rsid w:val="00281483"/>
    <w:rsid w:val="0028400C"/>
    <w:rsid w:val="00297528"/>
    <w:rsid w:val="002A014D"/>
    <w:rsid w:val="002A2FDB"/>
    <w:rsid w:val="002B5753"/>
    <w:rsid w:val="002B57E3"/>
    <w:rsid w:val="002C07F8"/>
    <w:rsid w:val="002C76CE"/>
    <w:rsid w:val="002D18A8"/>
    <w:rsid w:val="002E5B70"/>
    <w:rsid w:val="002E798F"/>
    <w:rsid w:val="002F629F"/>
    <w:rsid w:val="002F666D"/>
    <w:rsid w:val="0031062C"/>
    <w:rsid w:val="003147EC"/>
    <w:rsid w:val="00316218"/>
    <w:rsid w:val="00317130"/>
    <w:rsid w:val="00317820"/>
    <w:rsid w:val="00321EDB"/>
    <w:rsid w:val="003277D5"/>
    <w:rsid w:val="00331955"/>
    <w:rsid w:val="00337DEB"/>
    <w:rsid w:val="0034476B"/>
    <w:rsid w:val="00347493"/>
    <w:rsid w:val="003510BE"/>
    <w:rsid w:val="00354398"/>
    <w:rsid w:val="00356EC2"/>
    <w:rsid w:val="003570D3"/>
    <w:rsid w:val="00357E57"/>
    <w:rsid w:val="00360E93"/>
    <w:rsid w:val="003661F5"/>
    <w:rsid w:val="00374B6A"/>
    <w:rsid w:val="00380B2C"/>
    <w:rsid w:val="00381A20"/>
    <w:rsid w:val="00382AB9"/>
    <w:rsid w:val="00386CAA"/>
    <w:rsid w:val="00396C48"/>
    <w:rsid w:val="003B716E"/>
    <w:rsid w:val="003C135D"/>
    <w:rsid w:val="003D3F73"/>
    <w:rsid w:val="003D50A2"/>
    <w:rsid w:val="003D5B1D"/>
    <w:rsid w:val="003D7E5D"/>
    <w:rsid w:val="003E6E18"/>
    <w:rsid w:val="00421263"/>
    <w:rsid w:val="00423BD3"/>
    <w:rsid w:val="00454BED"/>
    <w:rsid w:val="004552D7"/>
    <w:rsid w:val="00460651"/>
    <w:rsid w:val="00463F7B"/>
    <w:rsid w:val="00473B50"/>
    <w:rsid w:val="00474B66"/>
    <w:rsid w:val="00475808"/>
    <w:rsid w:val="004810B0"/>
    <w:rsid w:val="00484171"/>
    <w:rsid w:val="00485625"/>
    <w:rsid w:val="0049300C"/>
    <w:rsid w:val="0049554E"/>
    <w:rsid w:val="00496988"/>
    <w:rsid w:val="004B4AB1"/>
    <w:rsid w:val="004B76D9"/>
    <w:rsid w:val="004C139B"/>
    <w:rsid w:val="004C4C36"/>
    <w:rsid w:val="004C6932"/>
    <w:rsid w:val="004D731B"/>
    <w:rsid w:val="004F0D80"/>
    <w:rsid w:val="004F1409"/>
    <w:rsid w:val="004F6D31"/>
    <w:rsid w:val="004F7EEF"/>
    <w:rsid w:val="005034C7"/>
    <w:rsid w:val="00506031"/>
    <w:rsid w:val="005113E3"/>
    <w:rsid w:val="00514065"/>
    <w:rsid w:val="005175D2"/>
    <w:rsid w:val="005225CF"/>
    <w:rsid w:val="00524FA9"/>
    <w:rsid w:val="00535BD4"/>
    <w:rsid w:val="00543EE7"/>
    <w:rsid w:val="00544684"/>
    <w:rsid w:val="00552E64"/>
    <w:rsid w:val="00554FDD"/>
    <w:rsid w:val="00572CF3"/>
    <w:rsid w:val="00574A44"/>
    <w:rsid w:val="005866BE"/>
    <w:rsid w:val="00590DA3"/>
    <w:rsid w:val="00592788"/>
    <w:rsid w:val="00597496"/>
    <w:rsid w:val="005B642F"/>
    <w:rsid w:val="005C0722"/>
    <w:rsid w:val="005C33B6"/>
    <w:rsid w:val="005C4833"/>
    <w:rsid w:val="005C54DD"/>
    <w:rsid w:val="005C693D"/>
    <w:rsid w:val="005D2907"/>
    <w:rsid w:val="005D376D"/>
    <w:rsid w:val="005D4992"/>
    <w:rsid w:val="005E37F9"/>
    <w:rsid w:val="00604CBB"/>
    <w:rsid w:val="006054CA"/>
    <w:rsid w:val="00615E28"/>
    <w:rsid w:val="006213B9"/>
    <w:rsid w:val="006405F0"/>
    <w:rsid w:val="00640F30"/>
    <w:rsid w:val="00645A42"/>
    <w:rsid w:val="00656AFE"/>
    <w:rsid w:val="00657577"/>
    <w:rsid w:val="00661209"/>
    <w:rsid w:val="00666A72"/>
    <w:rsid w:val="006A40FF"/>
    <w:rsid w:val="006A6ECD"/>
    <w:rsid w:val="006B292E"/>
    <w:rsid w:val="006D49CC"/>
    <w:rsid w:val="006D4DCE"/>
    <w:rsid w:val="006D6494"/>
    <w:rsid w:val="006D7251"/>
    <w:rsid w:val="006E79AE"/>
    <w:rsid w:val="00707101"/>
    <w:rsid w:val="0071021C"/>
    <w:rsid w:val="00712419"/>
    <w:rsid w:val="00715925"/>
    <w:rsid w:val="00715CB6"/>
    <w:rsid w:val="00724EF0"/>
    <w:rsid w:val="00735ED9"/>
    <w:rsid w:val="007443EA"/>
    <w:rsid w:val="0074448D"/>
    <w:rsid w:val="0074659D"/>
    <w:rsid w:val="0075594E"/>
    <w:rsid w:val="00764B6A"/>
    <w:rsid w:val="0077023B"/>
    <w:rsid w:val="00772682"/>
    <w:rsid w:val="00785B9F"/>
    <w:rsid w:val="007874CE"/>
    <w:rsid w:val="00793220"/>
    <w:rsid w:val="007A4A30"/>
    <w:rsid w:val="007A56ED"/>
    <w:rsid w:val="007A646F"/>
    <w:rsid w:val="007B33A4"/>
    <w:rsid w:val="007E23B2"/>
    <w:rsid w:val="007E64CA"/>
    <w:rsid w:val="007E6F40"/>
    <w:rsid w:val="008010CB"/>
    <w:rsid w:val="00804F6A"/>
    <w:rsid w:val="00810C41"/>
    <w:rsid w:val="00820BE3"/>
    <w:rsid w:val="00821426"/>
    <w:rsid w:val="008222D9"/>
    <w:rsid w:val="008302CC"/>
    <w:rsid w:val="00831489"/>
    <w:rsid w:val="008332A1"/>
    <w:rsid w:val="008348ED"/>
    <w:rsid w:val="00850E00"/>
    <w:rsid w:val="008659E1"/>
    <w:rsid w:val="00865BC9"/>
    <w:rsid w:val="00873BC1"/>
    <w:rsid w:val="00882E2A"/>
    <w:rsid w:val="00885858"/>
    <w:rsid w:val="00885EB2"/>
    <w:rsid w:val="008A1046"/>
    <w:rsid w:val="008A5320"/>
    <w:rsid w:val="008B0EEE"/>
    <w:rsid w:val="008C77A0"/>
    <w:rsid w:val="008D667D"/>
    <w:rsid w:val="008E0490"/>
    <w:rsid w:val="008E7260"/>
    <w:rsid w:val="008F259F"/>
    <w:rsid w:val="008F7442"/>
    <w:rsid w:val="00917EBF"/>
    <w:rsid w:val="00923905"/>
    <w:rsid w:val="00924EC3"/>
    <w:rsid w:val="00931AE1"/>
    <w:rsid w:val="0093277A"/>
    <w:rsid w:val="00934464"/>
    <w:rsid w:val="00940539"/>
    <w:rsid w:val="00940C59"/>
    <w:rsid w:val="00953E13"/>
    <w:rsid w:val="00956FF5"/>
    <w:rsid w:val="0095741E"/>
    <w:rsid w:val="00957D9A"/>
    <w:rsid w:val="00960A5A"/>
    <w:rsid w:val="00971B7D"/>
    <w:rsid w:val="00995C9D"/>
    <w:rsid w:val="0099702B"/>
    <w:rsid w:val="009B5920"/>
    <w:rsid w:val="009D02D0"/>
    <w:rsid w:val="009F26E0"/>
    <w:rsid w:val="009F73D1"/>
    <w:rsid w:val="00A04C50"/>
    <w:rsid w:val="00A04EB0"/>
    <w:rsid w:val="00A10248"/>
    <w:rsid w:val="00A34F08"/>
    <w:rsid w:val="00A50F02"/>
    <w:rsid w:val="00A56920"/>
    <w:rsid w:val="00A625C4"/>
    <w:rsid w:val="00A64A0F"/>
    <w:rsid w:val="00A755AB"/>
    <w:rsid w:val="00A835A4"/>
    <w:rsid w:val="00A9331C"/>
    <w:rsid w:val="00AA7A04"/>
    <w:rsid w:val="00AC4330"/>
    <w:rsid w:val="00AF12A6"/>
    <w:rsid w:val="00AF1F34"/>
    <w:rsid w:val="00AF66D5"/>
    <w:rsid w:val="00B077E6"/>
    <w:rsid w:val="00B07BA2"/>
    <w:rsid w:val="00B13240"/>
    <w:rsid w:val="00B4500C"/>
    <w:rsid w:val="00B45FA3"/>
    <w:rsid w:val="00B533AE"/>
    <w:rsid w:val="00B533F4"/>
    <w:rsid w:val="00B5382C"/>
    <w:rsid w:val="00B54EFE"/>
    <w:rsid w:val="00B57860"/>
    <w:rsid w:val="00B6246D"/>
    <w:rsid w:val="00B65A7F"/>
    <w:rsid w:val="00B700BA"/>
    <w:rsid w:val="00B7443D"/>
    <w:rsid w:val="00B81801"/>
    <w:rsid w:val="00B83815"/>
    <w:rsid w:val="00B85DC5"/>
    <w:rsid w:val="00B8666B"/>
    <w:rsid w:val="00B971DB"/>
    <w:rsid w:val="00BA1201"/>
    <w:rsid w:val="00BB0DBB"/>
    <w:rsid w:val="00BB17C5"/>
    <w:rsid w:val="00BB6514"/>
    <w:rsid w:val="00BC2BD2"/>
    <w:rsid w:val="00BD25AF"/>
    <w:rsid w:val="00BE425D"/>
    <w:rsid w:val="00BE689E"/>
    <w:rsid w:val="00BE6ED8"/>
    <w:rsid w:val="00BF75A3"/>
    <w:rsid w:val="00C17B02"/>
    <w:rsid w:val="00C22C2B"/>
    <w:rsid w:val="00C237E8"/>
    <w:rsid w:val="00C27B40"/>
    <w:rsid w:val="00C35FE4"/>
    <w:rsid w:val="00C41BFF"/>
    <w:rsid w:val="00C4768F"/>
    <w:rsid w:val="00C47D96"/>
    <w:rsid w:val="00C55D5E"/>
    <w:rsid w:val="00C55E16"/>
    <w:rsid w:val="00C617FD"/>
    <w:rsid w:val="00C634C5"/>
    <w:rsid w:val="00C642FD"/>
    <w:rsid w:val="00C869AB"/>
    <w:rsid w:val="00C87DEC"/>
    <w:rsid w:val="00C87F40"/>
    <w:rsid w:val="00C9684D"/>
    <w:rsid w:val="00CA01F4"/>
    <w:rsid w:val="00CA1517"/>
    <w:rsid w:val="00CA5377"/>
    <w:rsid w:val="00CA5883"/>
    <w:rsid w:val="00CB0D93"/>
    <w:rsid w:val="00CC1F6A"/>
    <w:rsid w:val="00CD2331"/>
    <w:rsid w:val="00CE60BD"/>
    <w:rsid w:val="00CF0605"/>
    <w:rsid w:val="00CF23F3"/>
    <w:rsid w:val="00D10064"/>
    <w:rsid w:val="00D1133A"/>
    <w:rsid w:val="00D273A4"/>
    <w:rsid w:val="00D33E72"/>
    <w:rsid w:val="00D35DE6"/>
    <w:rsid w:val="00D429F3"/>
    <w:rsid w:val="00D44560"/>
    <w:rsid w:val="00D466B5"/>
    <w:rsid w:val="00D50B15"/>
    <w:rsid w:val="00D609D8"/>
    <w:rsid w:val="00D73241"/>
    <w:rsid w:val="00D767AC"/>
    <w:rsid w:val="00D8453A"/>
    <w:rsid w:val="00DC05C2"/>
    <w:rsid w:val="00DC0E95"/>
    <w:rsid w:val="00DC3B9E"/>
    <w:rsid w:val="00DD0F0E"/>
    <w:rsid w:val="00DD1399"/>
    <w:rsid w:val="00DE2EA2"/>
    <w:rsid w:val="00DE3984"/>
    <w:rsid w:val="00DE5379"/>
    <w:rsid w:val="00DF0571"/>
    <w:rsid w:val="00DF48E9"/>
    <w:rsid w:val="00E050DD"/>
    <w:rsid w:val="00E105E0"/>
    <w:rsid w:val="00E11A5F"/>
    <w:rsid w:val="00E11FCB"/>
    <w:rsid w:val="00E1414D"/>
    <w:rsid w:val="00E14842"/>
    <w:rsid w:val="00E3098D"/>
    <w:rsid w:val="00E463C1"/>
    <w:rsid w:val="00E55CA9"/>
    <w:rsid w:val="00E5668A"/>
    <w:rsid w:val="00E57E5A"/>
    <w:rsid w:val="00E626A3"/>
    <w:rsid w:val="00E6280C"/>
    <w:rsid w:val="00E6364C"/>
    <w:rsid w:val="00E6402E"/>
    <w:rsid w:val="00E646DD"/>
    <w:rsid w:val="00E7092A"/>
    <w:rsid w:val="00E76085"/>
    <w:rsid w:val="00E76D52"/>
    <w:rsid w:val="00E77DA6"/>
    <w:rsid w:val="00E86BF1"/>
    <w:rsid w:val="00E90AD9"/>
    <w:rsid w:val="00E91D53"/>
    <w:rsid w:val="00E931D9"/>
    <w:rsid w:val="00EA020A"/>
    <w:rsid w:val="00EA550F"/>
    <w:rsid w:val="00EA70B5"/>
    <w:rsid w:val="00EB12C8"/>
    <w:rsid w:val="00EB45E4"/>
    <w:rsid w:val="00EC1F95"/>
    <w:rsid w:val="00EC401D"/>
    <w:rsid w:val="00EC5079"/>
    <w:rsid w:val="00ED15DF"/>
    <w:rsid w:val="00ED28C0"/>
    <w:rsid w:val="00EE2C35"/>
    <w:rsid w:val="00EE40F8"/>
    <w:rsid w:val="00EE5460"/>
    <w:rsid w:val="00EE6051"/>
    <w:rsid w:val="00EF3A6A"/>
    <w:rsid w:val="00EF4A23"/>
    <w:rsid w:val="00EF66AF"/>
    <w:rsid w:val="00F02DD8"/>
    <w:rsid w:val="00F04F8A"/>
    <w:rsid w:val="00F05340"/>
    <w:rsid w:val="00F05DCD"/>
    <w:rsid w:val="00F064A2"/>
    <w:rsid w:val="00F30EB3"/>
    <w:rsid w:val="00F362DA"/>
    <w:rsid w:val="00F37D78"/>
    <w:rsid w:val="00F53822"/>
    <w:rsid w:val="00F604B7"/>
    <w:rsid w:val="00F609A8"/>
    <w:rsid w:val="00F71521"/>
    <w:rsid w:val="00F718DD"/>
    <w:rsid w:val="00F74EAD"/>
    <w:rsid w:val="00F84EB4"/>
    <w:rsid w:val="00F85477"/>
    <w:rsid w:val="00F94D99"/>
    <w:rsid w:val="00F959CF"/>
    <w:rsid w:val="00FA0D8C"/>
    <w:rsid w:val="00FE173C"/>
    <w:rsid w:val="00FE19C8"/>
    <w:rsid w:val="00FE744D"/>
    <w:rsid w:val="00FF2690"/>
    <w:rsid w:val="0FFB76BF"/>
    <w:rsid w:val="18E074F6"/>
    <w:rsid w:val="28367227"/>
    <w:rsid w:val="37FFCC86"/>
    <w:rsid w:val="47F90B89"/>
    <w:rsid w:val="4B9D539D"/>
    <w:rsid w:val="4FAF60D2"/>
    <w:rsid w:val="51FEA501"/>
    <w:rsid w:val="53AFDF49"/>
    <w:rsid w:val="57FDBF32"/>
    <w:rsid w:val="5B0FB6EB"/>
    <w:rsid w:val="5FEB9F67"/>
    <w:rsid w:val="6A33AC87"/>
    <w:rsid w:val="6BBCAC11"/>
    <w:rsid w:val="6EC6D1FF"/>
    <w:rsid w:val="6FE9E3E1"/>
    <w:rsid w:val="71DF4A28"/>
    <w:rsid w:val="71FFBC05"/>
    <w:rsid w:val="73FF757B"/>
    <w:rsid w:val="75B3FA01"/>
    <w:rsid w:val="776F0EF6"/>
    <w:rsid w:val="77E5C1FB"/>
    <w:rsid w:val="77FFB9B9"/>
    <w:rsid w:val="7AD5629B"/>
    <w:rsid w:val="7B0F5D77"/>
    <w:rsid w:val="7BFB071B"/>
    <w:rsid w:val="7BFE71E7"/>
    <w:rsid w:val="7DBE93A5"/>
    <w:rsid w:val="7DCB0966"/>
    <w:rsid w:val="7EAF6BE3"/>
    <w:rsid w:val="7F6E3477"/>
    <w:rsid w:val="7F7E2D98"/>
    <w:rsid w:val="7FF4E7F6"/>
    <w:rsid w:val="9FD43C71"/>
    <w:rsid w:val="ABCF9739"/>
    <w:rsid w:val="BBDD537A"/>
    <w:rsid w:val="BDFBBBC0"/>
    <w:rsid w:val="BFDF6BDA"/>
    <w:rsid w:val="CFCFF30A"/>
    <w:rsid w:val="D9325B05"/>
    <w:rsid w:val="DEBF0303"/>
    <w:rsid w:val="DFBFAB95"/>
    <w:rsid w:val="EBBFD48E"/>
    <w:rsid w:val="F5DF3DB1"/>
    <w:rsid w:val="F5DF4314"/>
    <w:rsid w:val="F7E000D0"/>
    <w:rsid w:val="F9FFE158"/>
    <w:rsid w:val="FCFF870E"/>
    <w:rsid w:val="FEFFE4A6"/>
    <w:rsid w:val="FFDF2EAB"/>
    <w:rsid w:val="FFFF4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Lines="50" w:afterLines="50"/>
      <w:ind w:firstLine="560" w:firstLineChars="200"/>
      <w:jc w:val="both"/>
    </w:pPr>
    <w:rPr>
      <w:rFonts w:ascii="宋体" w:hAnsi="宋体" w:eastAsia="宋体" w:cs="Times New Roman"/>
      <w:kern w:val="2"/>
      <w:sz w:val="28"/>
      <w:szCs w:val="28"/>
      <w:lang w:val="en-US" w:eastAsia="zh-CN" w:bidi="ar-SA"/>
    </w:rPr>
  </w:style>
  <w:style w:type="paragraph" w:styleId="4">
    <w:name w:val="heading 1"/>
    <w:basedOn w:val="5"/>
    <w:next w:val="1"/>
    <w:link w:val="20"/>
    <w:qFormat/>
    <w:uiPriority w:val="99"/>
    <w:pPr>
      <w:spacing w:before="156" w:after="156"/>
      <w:ind w:firstLine="0" w:firstLineChars="0"/>
    </w:pPr>
    <w:rPr>
      <w:rFonts w:ascii="宋体" w:hAnsi="宋体" w:cs="Times New Roman"/>
    </w:rPr>
  </w:style>
  <w:style w:type="paragraph" w:styleId="6">
    <w:name w:val="heading 2"/>
    <w:basedOn w:val="1"/>
    <w:next w:val="1"/>
    <w:link w:val="2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link w:val="30"/>
    <w:qFormat/>
    <w:uiPriority w:val="99"/>
    <w:pPr>
      <w:spacing w:after="120"/>
      <w:ind w:left="420" w:leftChars="200"/>
    </w:pPr>
  </w:style>
  <w:style w:type="paragraph" w:styleId="5">
    <w:name w:val="Title"/>
    <w:basedOn w:val="1"/>
    <w:next w:val="1"/>
    <w:link w:val="22"/>
    <w:qFormat/>
    <w:uiPriority w:val="10"/>
    <w:pPr>
      <w:spacing w:before="240" w:after="60"/>
      <w:jc w:val="center"/>
      <w:outlineLvl w:val="0"/>
    </w:pPr>
    <w:rPr>
      <w:rFonts w:asciiTheme="majorHAnsi" w:hAnsiTheme="majorHAnsi" w:cstheme="majorBidi"/>
      <w:b/>
      <w:bCs/>
      <w:sz w:val="32"/>
      <w:szCs w:val="32"/>
    </w:rPr>
  </w:style>
  <w:style w:type="paragraph" w:styleId="7">
    <w:name w:val="annotation text"/>
    <w:basedOn w:val="1"/>
    <w:link w:val="21"/>
    <w:semiHidden/>
    <w:qFormat/>
    <w:uiPriority w:val="99"/>
    <w:pPr>
      <w:jc w:val="left"/>
    </w:pPr>
  </w:style>
  <w:style w:type="paragraph" w:styleId="8">
    <w:name w:val="Balloon Text"/>
    <w:basedOn w:val="1"/>
    <w:link w:val="23"/>
    <w:semiHidden/>
    <w:unhideWhenUsed/>
    <w:qFormat/>
    <w:uiPriority w:val="99"/>
    <w:rPr>
      <w:sz w:val="18"/>
      <w:szCs w:val="18"/>
    </w:rPr>
  </w:style>
  <w:style w:type="paragraph" w:styleId="9">
    <w:name w:val="footer"/>
    <w:basedOn w:val="1"/>
    <w:link w:val="26"/>
    <w:unhideWhenUsed/>
    <w:qFormat/>
    <w:uiPriority w:val="99"/>
    <w:pPr>
      <w:tabs>
        <w:tab w:val="center" w:pos="4153"/>
        <w:tab w:val="right" w:pos="8306"/>
      </w:tabs>
      <w:snapToGrid w:val="0"/>
      <w:jc w:val="left"/>
    </w:pPr>
    <w:rPr>
      <w:sz w:val="18"/>
      <w:szCs w:val="18"/>
    </w:rPr>
  </w:style>
  <w:style w:type="paragraph" w:styleId="10">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semiHidden/>
    <w:unhideWhenUsed/>
    <w:qFormat/>
    <w:uiPriority w:val="99"/>
    <w:pPr>
      <w:spacing w:beforeAutospacing="1" w:afterAutospacing="1"/>
      <w:jc w:val="left"/>
    </w:pPr>
    <w:rPr>
      <w:kern w:val="0"/>
      <w:sz w:val="24"/>
    </w:rPr>
  </w:style>
  <w:style w:type="paragraph" w:styleId="12">
    <w:name w:val="annotation subject"/>
    <w:basedOn w:val="7"/>
    <w:next w:val="7"/>
    <w:link w:val="33"/>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rPr>
  </w:style>
  <w:style w:type="character" w:styleId="17">
    <w:name w:val="Emphasis"/>
    <w:basedOn w:val="15"/>
    <w:qFormat/>
    <w:uiPriority w:val="20"/>
    <w:rPr>
      <w:i/>
      <w:iCs/>
    </w:rPr>
  </w:style>
  <w:style w:type="character" w:styleId="18">
    <w:name w:val="Hyperlink"/>
    <w:basedOn w:val="15"/>
    <w:qFormat/>
    <w:uiPriority w:val="99"/>
    <w:rPr>
      <w:rFonts w:cs="Times New Roman"/>
      <w:color w:val="0000FF"/>
      <w:u w:val="single"/>
    </w:rPr>
  </w:style>
  <w:style w:type="character" w:styleId="19">
    <w:name w:val="annotation reference"/>
    <w:basedOn w:val="15"/>
    <w:semiHidden/>
    <w:qFormat/>
    <w:uiPriority w:val="99"/>
    <w:rPr>
      <w:rFonts w:cs="Times New Roman"/>
      <w:sz w:val="21"/>
      <w:szCs w:val="21"/>
    </w:rPr>
  </w:style>
  <w:style w:type="character" w:customStyle="1" w:styleId="20">
    <w:name w:val="标题 1 字符"/>
    <w:basedOn w:val="15"/>
    <w:link w:val="4"/>
    <w:qFormat/>
    <w:uiPriority w:val="99"/>
    <w:rPr>
      <w:rFonts w:ascii="宋体" w:hAnsi="宋体" w:eastAsia="宋体" w:cs="Times New Roman"/>
      <w:b/>
      <w:bCs/>
      <w:sz w:val="32"/>
      <w:szCs w:val="32"/>
    </w:rPr>
  </w:style>
  <w:style w:type="character" w:customStyle="1" w:styleId="21">
    <w:name w:val="批注文字 字符"/>
    <w:basedOn w:val="15"/>
    <w:link w:val="7"/>
    <w:semiHidden/>
    <w:qFormat/>
    <w:uiPriority w:val="99"/>
    <w:rPr>
      <w:rFonts w:ascii="宋体" w:hAnsi="宋体" w:eastAsia="宋体" w:cs="Times New Roman"/>
      <w:sz w:val="28"/>
      <w:szCs w:val="28"/>
    </w:rPr>
  </w:style>
  <w:style w:type="character" w:customStyle="1" w:styleId="22">
    <w:name w:val="标题 字符"/>
    <w:basedOn w:val="15"/>
    <w:link w:val="5"/>
    <w:qFormat/>
    <w:uiPriority w:val="10"/>
    <w:rPr>
      <w:rFonts w:eastAsia="宋体" w:asciiTheme="majorHAnsi" w:hAnsiTheme="majorHAnsi" w:cstheme="majorBidi"/>
      <w:b/>
      <w:bCs/>
      <w:sz w:val="32"/>
      <w:szCs w:val="32"/>
    </w:rPr>
  </w:style>
  <w:style w:type="character" w:customStyle="1" w:styleId="23">
    <w:name w:val="批注框文本 字符"/>
    <w:basedOn w:val="15"/>
    <w:link w:val="8"/>
    <w:semiHidden/>
    <w:qFormat/>
    <w:uiPriority w:val="99"/>
    <w:rPr>
      <w:rFonts w:ascii="宋体" w:hAnsi="宋体" w:eastAsia="宋体" w:cs="Times New Roman"/>
      <w:sz w:val="18"/>
      <w:szCs w:val="18"/>
    </w:rPr>
  </w:style>
  <w:style w:type="character" w:customStyle="1" w:styleId="24">
    <w:name w:val="标题 2 字符"/>
    <w:basedOn w:val="15"/>
    <w:link w:val="6"/>
    <w:semiHidden/>
    <w:qFormat/>
    <w:uiPriority w:val="9"/>
    <w:rPr>
      <w:rFonts w:asciiTheme="majorHAnsi" w:hAnsiTheme="majorHAnsi" w:eastAsiaTheme="majorEastAsia" w:cstheme="majorBidi"/>
      <w:b/>
      <w:bCs/>
      <w:sz w:val="32"/>
      <w:szCs w:val="32"/>
    </w:rPr>
  </w:style>
  <w:style w:type="character" w:customStyle="1" w:styleId="25">
    <w:name w:val="页眉 字符"/>
    <w:basedOn w:val="15"/>
    <w:link w:val="10"/>
    <w:qFormat/>
    <w:uiPriority w:val="99"/>
    <w:rPr>
      <w:rFonts w:ascii="宋体" w:hAnsi="宋体" w:eastAsia="宋体" w:cs="Times New Roman"/>
      <w:kern w:val="2"/>
      <w:sz w:val="18"/>
      <w:szCs w:val="18"/>
    </w:rPr>
  </w:style>
  <w:style w:type="character" w:customStyle="1" w:styleId="26">
    <w:name w:val="页脚 字符"/>
    <w:basedOn w:val="15"/>
    <w:link w:val="9"/>
    <w:qFormat/>
    <w:uiPriority w:val="99"/>
    <w:rPr>
      <w:rFonts w:ascii="宋体" w:hAnsi="宋体" w:eastAsia="宋体" w:cs="Times New Roman"/>
      <w:kern w:val="2"/>
      <w:sz w:val="18"/>
      <w:szCs w:val="18"/>
    </w:rPr>
  </w:style>
  <w:style w:type="paragraph" w:customStyle="1" w:styleId="27">
    <w:name w:val="修订1"/>
    <w:hidden/>
    <w:semiHidden/>
    <w:qFormat/>
    <w:uiPriority w:val="99"/>
    <w:rPr>
      <w:rFonts w:ascii="宋体" w:hAnsi="宋体" w:eastAsia="宋体" w:cs="Times New Roman"/>
      <w:kern w:val="2"/>
      <w:sz w:val="28"/>
      <w:szCs w:val="28"/>
      <w:lang w:val="en-US" w:eastAsia="zh-CN" w:bidi="ar-SA"/>
    </w:rPr>
  </w:style>
  <w:style w:type="paragraph" w:styleId="28">
    <w:name w:val="List Paragraph"/>
    <w:basedOn w:val="1"/>
    <w:qFormat/>
    <w:uiPriority w:val="99"/>
    <w:pPr>
      <w:ind w:firstLine="420"/>
    </w:pPr>
  </w:style>
  <w:style w:type="paragraph" w:customStyle="1" w:styleId="29">
    <w:name w:val="修订2"/>
    <w:hidden/>
    <w:semiHidden/>
    <w:qFormat/>
    <w:uiPriority w:val="99"/>
    <w:rPr>
      <w:rFonts w:ascii="宋体" w:hAnsi="宋体" w:eastAsia="宋体" w:cs="Times New Roman"/>
      <w:kern w:val="2"/>
      <w:sz w:val="28"/>
      <w:szCs w:val="28"/>
      <w:lang w:val="en-US" w:eastAsia="zh-CN" w:bidi="ar-SA"/>
    </w:rPr>
  </w:style>
  <w:style w:type="character" w:customStyle="1" w:styleId="30">
    <w:name w:val="正文文本缩进 字符"/>
    <w:basedOn w:val="15"/>
    <w:link w:val="3"/>
    <w:qFormat/>
    <w:uiPriority w:val="99"/>
    <w:rPr>
      <w:rFonts w:ascii="宋体" w:hAnsi="宋体"/>
      <w:kern w:val="2"/>
      <w:sz w:val="28"/>
      <w:szCs w:val="28"/>
    </w:rPr>
  </w:style>
  <w:style w:type="paragraph" w:customStyle="1" w:styleId="31">
    <w:name w:val="修订3"/>
    <w:hidden/>
    <w:semiHidden/>
    <w:qFormat/>
    <w:uiPriority w:val="99"/>
    <w:rPr>
      <w:rFonts w:ascii="宋体" w:hAnsi="宋体" w:eastAsia="宋体" w:cs="Times New Roman"/>
      <w:kern w:val="2"/>
      <w:sz w:val="28"/>
      <w:szCs w:val="28"/>
      <w:lang w:val="en-US" w:eastAsia="zh-CN" w:bidi="ar-SA"/>
    </w:rPr>
  </w:style>
  <w:style w:type="paragraph" w:customStyle="1" w:styleId="32">
    <w:name w:val="修订4"/>
    <w:hidden/>
    <w:semiHidden/>
    <w:qFormat/>
    <w:uiPriority w:val="99"/>
    <w:rPr>
      <w:rFonts w:ascii="宋体" w:hAnsi="宋体" w:eastAsia="宋体" w:cs="Times New Roman"/>
      <w:kern w:val="2"/>
      <w:sz w:val="28"/>
      <w:szCs w:val="28"/>
      <w:lang w:val="en-US" w:eastAsia="zh-CN" w:bidi="ar-SA"/>
    </w:rPr>
  </w:style>
  <w:style w:type="character" w:customStyle="1" w:styleId="33">
    <w:name w:val="批注主题 字符"/>
    <w:basedOn w:val="21"/>
    <w:link w:val="12"/>
    <w:semiHidden/>
    <w:qFormat/>
    <w:uiPriority w:val="99"/>
    <w:rPr>
      <w:rFonts w:ascii="宋体" w:hAnsi="宋体" w:eastAsia="宋体" w:cs="Times New Roman"/>
      <w:b/>
      <w:bCs/>
      <w:kern w:val="2"/>
      <w:sz w:val="28"/>
      <w:szCs w:val="28"/>
    </w:rPr>
  </w:style>
  <w:style w:type="character" w:customStyle="1" w:styleId="34">
    <w:name w:val="content-right_8zs40"/>
    <w:basedOn w:val="15"/>
    <w:qFormat/>
    <w:uiPriority w:val="0"/>
  </w:style>
  <w:style w:type="paragraph" w:customStyle="1" w:styleId="35">
    <w:name w:val="Revision"/>
    <w:hidden/>
    <w:semiHidden/>
    <w:qFormat/>
    <w:uiPriority w:val="99"/>
    <w:rPr>
      <w:rFonts w:ascii="宋体" w:hAnsi="宋体" w:eastAsia="宋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3160</Words>
  <Characters>3184</Characters>
  <Lines>229</Lines>
  <Paragraphs>64</Paragraphs>
  <TotalTime>81</TotalTime>
  <ScaleCrop>false</ScaleCrop>
  <LinksUpToDate>false</LinksUpToDate>
  <CharactersWithSpaces>3216</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2022-05-30T11:52:00Z</dcterms:created>
  <dc:creator>mof</dc:creator>
  <cp:lastModifiedBy>章孝德</cp:lastModifiedBy>
  <cp:lastPrinted>2022-04-21T14:28:00Z</cp:lastPrinted>
  <dcterms:modified xsi:type="dcterms:W3CDTF">2022-07-22T06:45:08Z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D72D7312AC684D08956D953CB7D1B283</vt:lpwstr>
  </property>
</Properties>
</file>